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4818" w14:textId="77777777" w:rsidR="00E12801" w:rsidRDefault="006D76B0" w:rsidP="00E12801">
      <w:pPr>
        <w:pStyle w:val="Title-Professional"/>
        <w:pBdr>
          <w:top w:val="single" w:sz="36" w:space="2" w:color="000080"/>
          <w:left w:val="single" w:sz="6" w:space="7" w:color="000080"/>
          <w:bottom w:val="single" w:sz="6" w:space="0" w:color="000080"/>
          <w:right w:val="single" w:sz="6" w:space="9" w:color="000080"/>
        </w:pBdr>
        <w:jc w:val="left"/>
        <w:rPr>
          <w:rFonts w:ascii="Century Schoolbook" w:hAnsi="Century Schoolbook"/>
          <w:b/>
          <w:sz w:val="24"/>
        </w:rPr>
      </w:pPr>
      <w:r>
        <w:rPr>
          <w:rFonts w:ascii="Century Schoolbook" w:hAnsi="Century Schoolbook"/>
          <w:b/>
          <w:noProof/>
        </w:rPr>
        <mc:AlternateContent>
          <mc:Choice Requires="wps">
            <w:drawing>
              <wp:anchor distT="0" distB="0" distL="114300" distR="114300" simplePos="0" relativeHeight="251658752" behindDoc="0" locked="0" layoutInCell="1" allowOverlap="1" wp14:anchorId="0EF124AF" wp14:editId="54190CD0">
                <wp:simplePos x="0" y="0"/>
                <wp:positionH relativeFrom="column">
                  <wp:posOffset>1028700</wp:posOffset>
                </wp:positionH>
                <wp:positionV relativeFrom="paragraph">
                  <wp:posOffset>150495</wp:posOffset>
                </wp:positionV>
                <wp:extent cx="5647690" cy="800100"/>
                <wp:effectExtent l="190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E716" w14:textId="7E9A88DF" w:rsidR="00EB51E1" w:rsidRPr="00AE6C84" w:rsidRDefault="00377FDF" w:rsidP="00A9288A">
                            <w:pPr>
                              <w:jc w:val="right"/>
                              <w:rPr>
                                <w:rFonts w:ascii="Helvetica" w:hAnsi="Helvetica"/>
                                <w:b/>
                                <w:sz w:val="40"/>
                                <w:szCs w:val="40"/>
                              </w:rPr>
                            </w:pPr>
                            <w:r>
                              <w:rPr>
                                <w:rFonts w:ascii="Helvetica" w:hAnsi="Helvetica"/>
                                <w:b/>
                                <w:sz w:val="40"/>
                                <w:szCs w:val="40"/>
                              </w:rPr>
                              <w:t>Reach A</w:t>
                            </w:r>
                            <w:r w:rsidR="00871258">
                              <w:rPr>
                                <w:rFonts w:ascii="Helvetica" w:hAnsi="Helvetica"/>
                                <w:b/>
                                <w:sz w:val="40"/>
                                <w:szCs w:val="40"/>
                              </w:rPr>
                              <w:t xml:space="preserve"> Levee </w:t>
                            </w:r>
                            <w:r>
                              <w:rPr>
                                <w:rFonts w:ascii="Helvetica" w:hAnsi="Helvetica"/>
                                <w:b/>
                                <w:sz w:val="40"/>
                                <w:szCs w:val="40"/>
                              </w:rPr>
                              <w:t xml:space="preserve"> </w:t>
                            </w:r>
                          </w:p>
                          <w:p w14:paraId="671BE6CB" w14:textId="49FB7C08" w:rsidR="00EB51E1" w:rsidRPr="005F553B" w:rsidRDefault="008F40DC" w:rsidP="001F30F2">
                            <w:pPr>
                              <w:jc w:val="right"/>
                              <w:rPr>
                                <w:rFonts w:ascii="Helvetica" w:hAnsi="Helvetica"/>
                                <w:b/>
                                <w:sz w:val="32"/>
                                <w:szCs w:val="32"/>
                              </w:rPr>
                            </w:pPr>
                            <w:r>
                              <w:rPr>
                                <w:rFonts w:ascii="Helvetica" w:hAnsi="Helvetica"/>
                                <w:b/>
                                <w:sz w:val="32"/>
                                <w:szCs w:val="32"/>
                              </w:rPr>
                              <w:t>Morganza to the Gulf of Mexico</w:t>
                            </w:r>
                            <w:r w:rsidR="00410E9B">
                              <w:rPr>
                                <w:rFonts w:ascii="Helvetica" w:hAnsi="Helvetica"/>
                                <w:b/>
                                <w:sz w:val="32"/>
                                <w:szCs w:val="32"/>
                              </w:rPr>
                              <w:t>,</w:t>
                            </w:r>
                            <w:r w:rsidR="00EB51E1">
                              <w:rPr>
                                <w:rFonts w:ascii="Helvetica" w:hAnsi="Helvetica"/>
                                <w:b/>
                                <w:sz w:val="32"/>
                                <w:szCs w:val="32"/>
                              </w:rPr>
                              <w:t xml:space="preserve"> LA</w:t>
                            </w:r>
                            <w:r w:rsidR="00410E9B">
                              <w:rPr>
                                <w:rFonts w:ascii="Helvetica" w:hAnsi="Helvetica"/>
                                <w:b/>
                                <w:sz w:val="32"/>
                                <w:szCs w:val="32"/>
                              </w:rPr>
                              <w:t xml:space="preserve"> </w:t>
                            </w:r>
                          </w:p>
                          <w:p w14:paraId="3471F59B" w14:textId="7CD0B84D" w:rsidR="00EB51E1" w:rsidRPr="007A6A41" w:rsidRDefault="008F40DC" w:rsidP="0067438A">
                            <w:pPr>
                              <w:autoSpaceDE w:val="0"/>
                              <w:autoSpaceDN w:val="0"/>
                              <w:adjustRightInd w:val="0"/>
                              <w:jc w:val="right"/>
                            </w:pPr>
                            <w:r>
                              <w:t>WRDA 2007 WR</w:t>
                            </w:r>
                            <w:r w:rsidR="00EB74AC">
                              <w:t>R</w:t>
                            </w:r>
                            <w:r>
                              <w:t>DA 20</w:t>
                            </w:r>
                            <w:r w:rsidR="00EB74AC">
                              <w:t>14</w:t>
                            </w:r>
                          </w:p>
                          <w:p w14:paraId="12E7F874" w14:textId="77777777" w:rsidR="00EB51E1" w:rsidRPr="00CE0AD1" w:rsidRDefault="00EB51E1" w:rsidP="006D247C">
                            <w:pPr>
                              <w:jc w:val="right"/>
                              <w:rPr>
                                <w:rFonts w:ascii="Helvetica" w:hAnsi="Helvetica"/>
                                <w:b/>
                                <w:sz w:val="40"/>
                              </w:rPr>
                            </w:pPr>
                          </w:p>
                          <w:p w14:paraId="68333602" w14:textId="77777777" w:rsidR="00EB51E1" w:rsidRPr="00CE0AD1" w:rsidRDefault="00EB51E1" w:rsidP="006D247C">
                            <w:pPr>
                              <w:jc w:val="right"/>
                              <w:rPr>
                                <w:rFonts w:ascii="Helvetica" w:hAnsi="Helvetica"/>
                                <w:b/>
                                <w:sz w:val="4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124AF" id="_x0000_t202" coordsize="21600,21600" o:spt="202" path="m,l,21600r21600,l21600,xe">
                <v:stroke joinstyle="miter"/>
                <v:path gradientshapeok="t" o:connecttype="rect"/>
              </v:shapetype>
              <v:shape id="Text Box 4" o:spid="_x0000_s1026" type="#_x0000_t202" style="position:absolute;margin-left:81pt;margin-top:11.85pt;width:444.7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" filled="f" stroked="f">
                <v:textbox inset=",0,,0">
                  <w:txbxContent>
                    <w:p w14:paraId="1C46E716" w14:textId="7E9A88DF" w:rsidR="00EB51E1" w:rsidRPr="00AE6C84" w:rsidRDefault="00377FDF" w:rsidP="00A9288A">
                      <w:pPr>
                        <w:jc w:val="right"/>
                        <w:rPr>
                          <w:rFonts w:ascii="Helvetica" w:hAnsi="Helvetica"/>
                          <w:b/>
                          <w:sz w:val="40"/>
                          <w:szCs w:val="40"/>
                        </w:rPr>
                      </w:pPr>
                      <w:r>
                        <w:rPr>
                          <w:rFonts w:ascii="Helvetica" w:hAnsi="Helvetica"/>
                          <w:b/>
                          <w:sz w:val="40"/>
                          <w:szCs w:val="40"/>
                        </w:rPr>
                        <w:t>Reach A</w:t>
                      </w:r>
                      <w:r w:rsidR="00871258">
                        <w:rPr>
                          <w:rFonts w:ascii="Helvetica" w:hAnsi="Helvetica"/>
                          <w:b/>
                          <w:sz w:val="40"/>
                          <w:szCs w:val="40"/>
                        </w:rPr>
                        <w:t xml:space="preserve"> Levee </w:t>
                      </w:r>
                      <w:r>
                        <w:rPr>
                          <w:rFonts w:ascii="Helvetica" w:hAnsi="Helvetica"/>
                          <w:b/>
                          <w:sz w:val="40"/>
                          <w:szCs w:val="40"/>
                        </w:rPr>
                        <w:t xml:space="preserve"> </w:t>
                      </w:r>
                    </w:p>
                    <w:p w14:paraId="671BE6CB" w14:textId="49FB7C08" w:rsidR="00EB51E1" w:rsidRPr="005F553B" w:rsidRDefault="008F40DC" w:rsidP="001F30F2">
                      <w:pPr>
                        <w:jc w:val="right"/>
                        <w:rPr>
                          <w:rFonts w:ascii="Helvetica" w:hAnsi="Helvetica"/>
                          <w:b/>
                          <w:sz w:val="32"/>
                          <w:szCs w:val="32"/>
                        </w:rPr>
                      </w:pPr>
                      <w:r>
                        <w:rPr>
                          <w:rFonts w:ascii="Helvetica" w:hAnsi="Helvetica"/>
                          <w:b/>
                          <w:sz w:val="32"/>
                          <w:szCs w:val="32"/>
                        </w:rPr>
                        <w:t>Morganza to the Gulf of Mexico</w:t>
                      </w:r>
                      <w:r w:rsidR="00410E9B">
                        <w:rPr>
                          <w:rFonts w:ascii="Helvetica" w:hAnsi="Helvetica"/>
                          <w:b/>
                          <w:sz w:val="32"/>
                          <w:szCs w:val="32"/>
                        </w:rPr>
                        <w:t>,</w:t>
                      </w:r>
                      <w:r w:rsidR="00EB51E1">
                        <w:rPr>
                          <w:rFonts w:ascii="Helvetica" w:hAnsi="Helvetica"/>
                          <w:b/>
                          <w:sz w:val="32"/>
                          <w:szCs w:val="32"/>
                        </w:rPr>
                        <w:t xml:space="preserve"> LA</w:t>
                      </w:r>
                      <w:r w:rsidR="00410E9B">
                        <w:rPr>
                          <w:rFonts w:ascii="Helvetica" w:hAnsi="Helvetica"/>
                          <w:b/>
                          <w:sz w:val="32"/>
                          <w:szCs w:val="32"/>
                        </w:rPr>
                        <w:t xml:space="preserve"> </w:t>
                      </w:r>
                    </w:p>
                    <w:p w14:paraId="3471F59B" w14:textId="7CD0B84D" w:rsidR="00EB51E1" w:rsidRPr="007A6A41" w:rsidRDefault="008F40DC" w:rsidP="0067438A">
                      <w:pPr>
                        <w:autoSpaceDE w:val="0"/>
                        <w:autoSpaceDN w:val="0"/>
                        <w:adjustRightInd w:val="0"/>
                        <w:jc w:val="right"/>
                      </w:pPr>
                      <w:r>
                        <w:t>WRDA 2007 WR</w:t>
                      </w:r>
                      <w:r w:rsidR="00EB74AC">
                        <w:t>R</w:t>
                      </w:r>
                      <w:r>
                        <w:t>DA 20</w:t>
                      </w:r>
                      <w:r w:rsidR="00EB74AC">
                        <w:t>14</w:t>
                      </w:r>
                    </w:p>
                    <w:p w14:paraId="12E7F874" w14:textId="77777777" w:rsidR="00EB51E1" w:rsidRPr="00CE0AD1" w:rsidRDefault="00EB51E1" w:rsidP="006D247C">
                      <w:pPr>
                        <w:jc w:val="right"/>
                        <w:rPr>
                          <w:rFonts w:ascii="Helvetica" w:hAnsi="Helvetica"/>
                          <w:b/>
                          <w:sz w:val="40"/>
                        </w:rPr>
                      </w:pPr>
                    </w:p>
                    <w:p w14:paraId="68333602" w14:textId="77777777" w:rsidR="00EB51E1" w:rsidRPr="00CE0AD1" w:rsidRDefault="00EB51E1" w:rsidP="006D247C">
                      <w:pPr>
                        <w:jc w:val="right"/>
                        <w:rPr>
                          <w:rFonts w:ascii="Helvetica" w:hAnsi="Helvetica"/>
                          <w:b/>
                          <w:sz w:val="40"/>
                        </w:rPr>
                      </w:pPr>
                    </w:p>
                  </w:txbxContent>
                </v:textbox>
              </v:shape>
            </w:pict>
          </mc:Fallback>
        </mc:AlternateContent>
      </w:r>
      <w:r w:rsidR="008F589E">
        <w:rPr>
          <w:rFonts w:ascii="Century Schoolbook" w:hAnsi="Century Schoolbook"/>
          <w:b/>
          <w:noProof/>
        </w:rPr>
        <w:drawing>
          <wp:inline distT="0" distB="0" distL="0" distR="0" wp14:anchorId="600D6D17" wp14:editId="7E1EE9E9">
            <wp:extent cx="914400" cy="733425"/>
            <wp:effectExtent l="19050" t="0" r="0" b="0"/>
            <wp:docPr id="1" name="Picture 1" descr="factshee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_logo_small"/>
                    <pic:cNvPicPr>
                      <a:picLocks noChangeAspect="1" noChangeArrowheads="1"/>
                    </pic:cNvPicPr>
                  </pic:nvPicPr>
                  <pic:blipFill>
                    <a:blip r:embed="rId8" cstate="print"/>
                    <a:srcRect/>
                    <a:stretch>
                      <a:fillRect/>
                    </a:stretch>
                  </pic:blipFill>
                  <pic:spPr bwMode="auto">
                    <a:xfrm>
                      <a:off x="0" y="0"/>
                      <a:ext cx="914400" cy="733425"/>
                    </a:xfrm>
                    <a:prstGeom prst="rect">
                      <a:avLst/>
                    </a:prstGeom>
                    <a:noFill/>
                    <a:ln w="9525">
                      <a:noFill/>
                      <a:miter lim="800000"/>
                      <a:headEnd/>
                      <a:tailEnd/>
                    </a:ln>
                  </pic:spPr>
                </pic:pic>
              </a:graphicData>
            </a:graphic>
          </wp:inline>
        </w:drawing>
      </w:r>
    </w:p>
    <w:p w14:paraId="15E3AF2A" w14:textId="77777777" w:rsidR="00E12801" w:rsidRDefault="00B9544C" w:rsidP="00E12801">
      <w:pPr>
        <w:pStyle w:val="Title-Professional"/>
        <w:pBdr>
          <w:top w:val="single" w:sz="36" w:space="2" w:color="000080"/>
          <w:left w:val="single" w:sz="6" w:space="7" w:color="000080"/>
          <w:bottom w:val="single" w:sz="6" w:space="0" w:color="000080"/>
          <w:right w:val="single" w:sz="6" w:space="9" w:color="000080"/>
        </w:pBdr>
        <w:jc w:val="left"/>
        <w:rPr>
          <w:rFonts w:ascii="Arial" w:hAnsi="Arial"/>
          <w:b/>
          <w:color w:val="auto"/>
          <w:sz w:val="16"/>
        </w:rPr>
      </w:pPr>
      <w:r>
        <w:rPr>
          <w:rFonts w:ascii="Arial" w:hAnsi="Arial"/>
          <w:b/>
          <w:color w:val="auto"/>
          <w:sz w:val="16"/>
        </w:rPr>
        <w:t>New Orleans</w:t>
      </w:r>
      <w:r w:rsidR="001D622D">
        <w:rPr>
          <w:rFonts w:ascii="Arial" w:hAnsi="Arial"/>
          <w:b/>
          <w:color w:val="auto"/>
          <w:sz w:val="16"/>
        </w:rPr>
        <w:t xml:space="preserve"> District</w:t>
      </w:r>
    </w:p>
    <w:p w14:paraId="5AC3AE34" w14:textId="77777777" w:rsidR="00E12801" w:rsidRPr="00D614E5" w:rsidRDefault="00E2587D" w:rsidP="00E12801">
      <w:pPr>
        <w:pStyle w:val="IssueVolumeDate-Professional"/>
        <w:pBdr>
          <w:top w:val="none" w:sz="0" w:space="0" w:color="auto"/>
          <w:left w:val="single" w:sz="6" w:space="7" w:color="000080"/>
          <w:bottom w:val="single" w:sz="6" w:space="0" w:color="000080"/>
          <w:right w:val="single" w:sz="6" w:space="9" w:color="000080"/>
        </w:pBdr>
        <w:spacing w:after="0" w:line="380" w:lineRule="exact"/>
        <w:jc w:val="center"/>
        <w:rPr>
          <w:rFonts w:ascii="Arial" w:hAnsi="Arial" w:cs="Arial"/>
          <w:b/>
          <w:bCs/>
          <w:sz w:val="26"/>
          <w:szCs w:val="26"/>
        </w:rPr>
      </w:pPr>
      <w:r>
        <w:rPr>
          <w:rFonts w:ascii="Arial" w:hAnsi="Arial" w:cs="Arial"/>
          <w:b/>
          <w:bCs/>
          <w:sz w:val="26"/>
          <w:szCs w:val="26"/>
        </w:rPr>
        <w:t xml:space="preserve">Mississippi River and Tributaries, </w:t>
      </w:r>
      <w:r w:rsidR="00410E9B">
        <w:rPr>
          <w:rFonts w:ascii="Arial" w:hAnsi="Arial" w:cs="Arial"/>
          <w:b/>
          <w:bCs/>
          <w:sz w:val="26"/>
          <w:szCs w:val="26"/>
        </w:rPr>
        <w:t>Construction</w:t>
      </w:r>
      <w:r w:rsidR="00302008">
        <w:rPr>
          <w:rFonts w:ascii="Arial" w:hAnsi="Arial" w:cs="Arial"/>
          <w:b/>
          <w:bCs/>
          <w:sz w:val="26"/>
          <w:szCs w:val="26"/>
        </w:rPr>
        <w:t xml:space="preserve"> </w:t>
      </w:r>
      <w:r w:rsidR="00AA03F7">
        <w:rPr>
          <w:rFonts w:ascii="Arial" w:hAnsi="Arial" w:cs="Arial"/>
          <w:b/>
          <w:bCs/>
          <w:sz w:val="26"/>
          <w:szCs w:val="26"/>
        </w:rPr>
        <w:t>(FRM)</w:t>
      </w:r>
      <w:r w:rsidR="00CA6CC3">
        <w:rPr>
          <w:rFonts w:ascii="Arial" w:hAnsi="Arial" w:cs="Arial"/>
          <w:b/>
          <w:bCs/>
          <w:sz w:val="26"/>
          <w:szCs w:val="26"/>
        </w:rPr>
        <w:t xml:space="preserve"> </w:t>
      </w:r>
    </w:p>
    <w:p w14:paraId="1FFEF9D4" w14:textId="2B027B52" w:rsidR="00557B3E" w:rsidRPr="006C493F" w:rsidRDefault="00B0105E" w:rsidP="00557B3E">
      <w:r>
        <w:rPr>
          <w:noProof/>
        </w:rPr>
        <w:drawing>
          <wp:anchor distT="0" distB="0" distL="114300" distR="114300" simplePos="0" relativeHeight="251660800" behindDoc="1" locked="0" layoutInCell="1" allowOverlap="1" wp14:anchorId="77663F1D" wp14:editId="0C8CD819">
            <wp:simplePos x="0" y="0"/>
            <wp:positionH relativeFrom="column">
              <wp:posOffset>3573145</wp:posOffset>
            </wp:positionH>
            <wp:positionV relativeFrom="paragraph">
              <wp:posOffset>170815</wp:posOffset>
            </wp:positionV>
            <wp:extent cx="3099435" cy="1816100"/>
            <wp:effectExtent l="19050" t="19050" r="24765" b="12700"/>
            <wp:wrapTight wrapText="bothSides">
              <wp:wrapPolygon edited="0">
                <wp:start x="-133" y="-227"/>
                <wp:lineTo x="-133" y="21524"/>
                <wp:lineTo x="21640" y="21524"/>
                <wp:lineTo x="21640" y="-227"/>
                <wp:lineTo x="-133" y="-22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669" t="12139" r="3569" b="3988"/>
                    <a:stretch/>
                  </pic:blipFill>
                  <pic:spPr bwMode="auto">
                    <a:xfrm>
                      <a:off x="0" y="0"/>
                      <a:ext cx="3099435" cy="1816100"/>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2F3F0" w14:textId="77777777" w:rsidR="00557B3E" w:rsidRDefault="00557B3E" w:rsidP="00557B3E">
      <w:pPr>
        <w:pStyle w:val="Heading4"/>
        <w:rPr>
          <w:rFonts w:ascii="Times New Roman" w:hAnsi="Times New Roman"/>
          <w:sz w:val="20"/>
        </w:rPr>
        <w:sectPr w:rsidR="00557B3E" w:rsidSect="00EA0261">
          <w:headerReference w:type="default" r:id="rId10"/>
          <w:pgSz w:w="12240" w:h="15840" w:code="1"/>
          <w:pgMar w:top="864" w:right="749" w:bottom="864" w:left="1008" w:header="720" w:footer="432" w:gutter="0"/>
          <w:pgBorders w:display="notFirstPage">
            <w:top w:val="single" w:sz="36" w:space="1" w:color="000080"/>
            <w:left w:val="single" w:sz="6" w:space="4" w:color="000080"/>
            <w:bottom w:val="single" w:sz="6" w:space="0" w:color="000080"/>
            <w:right w:val="single" w:sz="6" w:space="4" w:color="000080"/>
          </w:pgBorders>
          <w:cols w:space="720"/>
          <w:docGrid w:linePitch="272"/>
        </w:sectPr>
      </w:pPr>
    </w:p>
    <w:p w14:paraId="39150153" w14:textId="78DB60C5" w:rsidR="0067438A" w:rsidRPr="008F40DC" w:rsidRDefault="00377FDF" w:rsidP="001E49F6">
      <w:pPr>
        <w:ind w:right="-159"/>
        <w:jc w:val="both"/>
      </w:pPr>
      <w:r>
        <w:rPr>
          <w:b/>
        </w:rPr>
        <w:t xml:space="preserve">Project </w:t>
      </w:r>
      <w:r w:rsidR="00EA72C1" w:rsidRPr="008F40DC">
        <w:rPr>
          <w:b/>
        </w:rPr>
        <w:t>Location</w:t>
      </w:r>
      <w:r w:rsidR="00AE6C84" w:rsidRPr="008F40DC">
        <w:rPr>
          <w:b/>
        </w:rPr>
        <w:t>:</w:t>
      </w:r>
      <w:r w:rsidR="00AE6C84" w:rsidRPr="008F40DC">
        <w:t xml:space="preserve"> </w:t>
      </w:r>
      <w:r w:rsidR="005C593E" w:rsidRPr="008F40DC">
        <w:t xml:space="preserve"> </w:t>
      </w:r>
      <w:r w:rsidR="00A20860" w:rsidRPr="008F40DC">
        <w:t xml:space="preserve">The Morganza to the Gulf of Mexico, Louisiana (MTG) project </w:t>
      </w:r>
      <w:r w:rsidR="008F40DC" w:rsidRPr="008F40DC">
        <w:t>is in coastal Louisiana approximately 60 miles southwest of New Orleans and includes portions of Terrebonne and Lafourche parishes. The updated plan described in the 2013 Final Post Authorization Change (PAC) Report and the 2021 Engineering Documentation Report (EDR) is bounded by US Hwy 90 near the town of Gibson to the west and LA Hwy 1 near Lockport to the east.</w:t>
      </w:r>
    </w:p>
    <w:p w14:paraId="75E09D66" w14:textId="77777777" w:rsidR="0067438A" w:rsidRPr="008F40DC" w:rsidRDefault="0067438A" w:rsidP="00EA0261">
      <w:pPr>
        <w:jc w:val="both"/>
      </w:pPr>
    </w:p>
    <w:p w14:paraId="5F51C8B3" w14:textId="591F160D" w:rsidR="000A0E69" w:rsidRDefault="00377FDF" w:rsidP="001E49F6">
      <w:pPr>
        <w:ind w:right="-69"/>
        <w:jc w:val="both"/>
      </w:pPr>
      <w:r>
        <w:rPr>
          <w:b/>
        </w:rPr>
        <w:t xml:space="preserve">Project </w:t>
      </w:r>
      <w:r w:rsidR="00EA72C1" w:rsidRPr="008F40DC">
        <w:rPr>
          <w:b/>
        </w:rPr>
        <w:t>Description</w:t>
      </w:r>
      <w:r w:rsidR="00E2587D" w:rsidRPr="008F40DC">
        <w:t>:</w:t>
      </w:r>
      <w:r w:rsidR="006D6EA5" w:rsidRPr="008F40DC">
        <w:t xml:space="preserve">  </w:t>
      </w:r>
      <w:r w:rsidR="008F40DC" w:rsidRPr="008F40DC">
        <w:t>The MTG project is a hurricane and storm damage risk reduction project as part of the Mississippi River and Tributaries (MR&amp;T).  The project is a 98-mile alignment consisting of earthen levees, floodgates, environmental water control structures, road/railroad gates and fronting protection for existing pump stations. A major project feature</w:t>
      </w:r>
      <w:r w:rsidR="00EB74AC">
        <w:t>s</w:t>
      </w:r>
      <w:r w:rsidR="008F40DC" w:rsidRPr="008F40DC">
        <w:t xml:space="preserve"> </w:t>
      </w:r>
      <w:r w:rsidR="00EB74AC">
        <w:t>are two floodgates in the Gulf Intracoastal Waterway (GIWW)</w:t>
      </w:r>
      <w:r w:rsidR="00187068">
        <w:t xml:space="preserve"> and </w:t>
      </w:r>
      <w:r w:rsidR="008F40DC" w:rsidRPr="008F40DC">
        <w:t xml:space="preserve">a lock complex on the Houma Navigation Canal (HNC) consisting of a lock and an adjacent sector gate.  </w:t>
      </w:r>
    </w:p>
    <w:p w14:paraId="4BD83C00" w14:textId="77777777" w:rsidR="000A0E69" w:rsidRDefault="000A0E69" w:rsidP="00EA0261">
      <w:pPr>
        <w:jc w:val="both"/>
      </w:pPr>
    </w:p>
    <w:p w14:paraId="1B9DE208" w14:textId="0D170037" w:rsidR="008F40DC" w:rsidRPr="008F40DC" w:rsidRDefault="00187068" w:rsidP="001E49F6">
      <w:pPr>
        <w:ind w:right="-69"/>
        <w:jc w:val="both"/>
      </w:pPr>
      <w:r>
        <w:t xml:space="preserve">The </w:t>
      </w:r>
      <w:r w:rsidR="008F40DC" w:rsidRPr="008F40DC">
        <w:t xml:space="preserve">Project was authorized for construction in WRDA 2007, based on 2002 and 2003 reports of the Chief of Engineers, prior to development and implementation of post-Katrina design criteria. Incorporating post-Katrina design criteria into the </w:t>
      </w:r>
      <w:r w:rsidR="00A20860">
        <w:t>MTG</w:t>
      </w:r>
      <w:r w:rsidR="008F40DC" w:rsidRPr="008F40DC">
        <w:t xml:space="preserve"> project has driven project costs more than 20% higher than the cost authorized in WRDA 2007, thereby exceeding the Section 902 Limit and triggering the need for reauthorization. As a result, a PAC Report was completed, and a Chief of Engineers’ Report was signed on 8 July 2013 to seek re-authorization of the project. The project was reauthorized in Water Resources Reform and Development Act (WRRDA) of 2014 to provide 100-year level of risk reduction.  Since re-authorization, the project team has progressed the design implementing site adaptive criteria and work that has been completed on the alignment that updated the cost to $6.5B ($10.2B fully funded through the life of the project) as documented in the EDR approved on 15 December 2021.  A Project Partnership Agreement (PPA) was signed on 28 December 2021 that limits the federal cost share to $2.5B ($4.9B fully funded). The non-federal sponsors (NFSs) have invested </w:t>
      </w:r>
      <w:r>
        <w:t>over $1.1B in construction along the alignment, including</w:t>
      </w:r>
      <w:r w:rsidR="008F40DC" w:rsidRPr="008F40DC">
        <w:t xml:space="preserve"> the HNC Lock Complex.</w:t>
      </w:r>
    </w:p>
    <w:p w14:paraId="0B2A6EC8" w14:textId="77777777" w:rsidR="008F40DC" w:rsidRPr="008F40DC" w:rsidRDefault="008F40DC" w:rsidP="00EA0261">
      <w:pPr>
        <w:jc w:val="both"/>
      </w:pPr>
    </w:p>
    <w:p w14:paraId="7F7ED36D" w14:textId="40F2A661" w:rsidR="00A20860" w:rsidRDefault="00377FDF" w:rsidP="001E49F6">
      <w:pPr>
        <w:pStyle w:val="BodyText"/>
        <w:ind w:right="-69"/>
        <w:jc w:val="both"/>
      </w:pPr>
      <w:r>
        <w:rPr>
          <w:b/>
        </w:rPr>
        <w:t>Reach A</w:t>
      </w:r>
      <w:r w:rsidR="00995312" w:rsidRPr="008F40DC">
        <w:t>:</w:t>
      </w:r>
      <w:r w:rsidR="006D6EA5" w:rsidRPr="008F40DC">
        <w:t xml:space="preserve">  </w:t>
      </w:r>
      <w:r>
        <w:t xml:space="preserve">The </w:t>
      </w:r>
      <w:proofErr w:type="gramStart"/>
      <w:r w:rsidR="009E65A5">
        <w:t>non-Federal</w:t>
      </w:r>
      <w:proofErr w:type="gramEnd"/>
      <w:r>
        <w:t xml:space="preserve"> sponsors, </w:t>
      </w:r>
      <w:r w:rsidR="0057674E">
        <w:t>Terrebonne</w:t>
      </w:r>
      <w:r>
        <w:t xml:space="preserve"> Levee and Conservation District (TLCD) along with</w:t>
      </w:r>
      <w:r w:rsidR="00B96232">
        <w:t xml:space="preserve"> the Coastal Protection and Restoration Authority (</w:t>
      </w:r>
      <w:r w:rsidR="005A242B">
        <w:t>CPRA) have</w:t>
      </w:r>
      <w:r w:rsidRPr="00377FDF">
        <w:t xml:space="preserve"> constructed over 80 miles of levees in the vicinity of the authorized MTG levee system. However, </w:t>
      </w:r>
      <w:proofErr w:type="gramStart"/>
      <w:r w:rsidRPr="00377FDF">
        <w:t>in the area of</w:t>
      </w:r>
      <w:proofErr w:type="gramEnd"/>
      <w:r w:rsidRPr="00377FDF">
        <w:t xml:space="preserve"> Reach A, </w:t>
      </w:r>
      <w:r w:rsidR="009E65A5">
        <w:t>no levee segments have been</w:t>
      </w:r>
      <w:r w:rsidRPr="00377FDF">
        <w:t xml:space="preserve"> constructed</w:t>
      </w:r>
      <w:r w:rsidR="009E65A5">
        <w:t>.  T</w:t>
      </w:r>
      <w:r w:rsidRPr="00377FDF">
        <w:t>herefore, the city of Houma and surrounding communities remain vulnerable to flooding, storm surge, and sea level rise. TLCD recognized the urgency of the construction of the Reach A levee as noted in the “Declaration of a State of Emergency—Imminent Threat of Flooding Due to the Reach A Gap in the Morganza to the Gulf Flood Risk Reduction System” that was signed on May 17, 2023.”</w:t>
      </w:r>
    </w:p>
    <w:p w14:paraId="3A6C72B4" w14:textId="77777777" w:rsidR="00B96232" w:rsidRDefault="00B96232" w:rsidP="001E49F6">
      <w:pPr>
        <w:pStyle w:val="BodyText"/>
        <w:ind w:right="-69"/>
        <w:jc w:val="both"/>
      </w:pPr>
    </w:p>
    <w:p w14:paraId="1E87C444" w14:textId="6CE52E80" w:rsidR="00B96232" w:rsidRDefault="009E65A5" w:rsidP="001E49F6">
      <w:pPr>
        <w:pStyle w:val="BodyText"/>
        <w:ind w:right="-69"/>
        <w:jc w:val="both"/>
      </w:pPr>
      <w:r>
        <w:t>Acknowledging</w:t>
      </w:r>
      <w:r w:rsidR="00B96232">
        <w:t xml:space="preserve"> the since of urgency, the MTG team took on the charge to</w:t>
      </w:r>
      <w:r w:rsidR="00B96232" w:rsidRPr="00B96232">
        <w:t xml:space="preserve"> advance the greatest amount of risk reduction within Reach A as</w:t>
      </w:r>
      <w:r>
        <w:t xml:space="preserve"> soon as</w:t>
      </w:r>
      <w:r w:rsidR="00B96232" w:rsidRPr="00B96232">
        <w:t xml:space="preserve"> possible, while </w:t>
      </w:r>
      <w:r w:rsidR="00B96232">
        <w:t xml:space="preserve">minimizing or </w:t>
      </w:r>
      <w:r w:rsidR="00B96232" w:rsidRPr="00B96232">
        <w:t xml:space="preserve">avoiding impacts to high quality wetland habitats </w:t>
      </w:r>
      <w:r w:rsidR="00B96232">
        <w:t xml:space="preserve">and utilities </w:t>
      </w:r>
      <w:r w:rsidR="00B96232" w:rsidRPr="00B96232">
        <w:t xml:space="preserve">within the project area. </w:t>
      </w:r>
      <w:r>
        <w:t>Though t</w:t>
      </w:r>
      <w:r w:rsidR="00B96232">
        <w:t>he full construction of the Reach A levee will be accomplished over several contracts</w:t>
      </w:r>
      <w:r>
        <w:t>, t</w:t>
      </w:r>
      <w:r w:rsidR="00B96232">
        <w:t>he team expedited the design of Contract 1, scheduled to advertise at the end of May.  Contract 1 will</w:t>
      </w:r>
      <w:r w:rsidR="00B96232" w:rsidRPr="00B96232">
        <w:t xml:space="preserve"> provide flood risk reduction to vulnerable communities </w:t>
      </w:r>
      <w:r w:rsidR="0057674E">
        <w:t xml:space="preserve">along Bayou Dularge </w:t>
      </w:r>
      <w:r w:rsidR="00B96232" w:rsidRPr="00B96232">
        <w:t>while other important design and impact considerations are developed and assessed.</w:t>
      </w:r>
      <w:r w:rsidR="00B96232">
        <w:t xml:space="preserve">  Likewise, the team </w:t>
      </w:r>
      <w:r>
        <w:t xml:space="preserve">also expedited the </w:t>
      </w:r>
      <w:r w:rsidR="00B96232">
        <w:t>Programmatic Environmental Assessment (PEA) #598 evaluated the potential impacts to the human and natural environment resulting from the construction of Reach A.</w:t>
      </w:r>
    </w:p>
    <w:p w14:paraId="483BD1E0" w14:textId="77777777" w:rsidR="00B96232" w:rsidRDefault="00B96232" w:rsidP="001E49F6">
      <w:pPr>
        <w:pStyle w:val="BodyText"/>
        <w:ind w:right="-69"/>
        <w:jc w:val="both"/>
      </w:pPr>
    </w:p>
    <w:p w14:paraId="5C493378" w14:textId="477925EB" w:rsidR="00B96232" w:rsidRDefault="00B96232" w:rsidP="001E49F6">
      <w:pPr>
        <w:pStyle w:val="BodyText"/>
        <w:ind w:right="-69"/>
        <w:jc w:val="both"/>
      </w:pPr>
      <w:r w:rsidRPr="00B96232">
        <w:t xml:space="preserve">Factors </w:t>
      </w:r>
      <w:r>
        <w:t>for the remaining features</w:t>
      </w:r>
      <w:r w:rsidRPr="00B96232">
        <w:t xml:space="preserve"> of Reach A that would require extensive coordination include the numerous oil and gas pipelines impacted by the levee as well as coordination and consideration of potential impacts to the Mandalay NWR. As the levee and floodgate designs are further developed</w:t>
      </w:r>
      <w:r w:rsidR="009E65A5">
        <w:t xml:space="preserve"> for future Reach A contracts</w:t>
      </w:r>
      <w:r w:rsidRPr="00B96232">
        <w:t>, consideration of avoidance and minimization of impacts to significant resources</w:t>
      </w:r>
      <w:r w:rsidR="009E65A5">
        <w:t xml:space="preserve"> will be explored through</w:t>
      </w:r>
      <w:r w:rsidRPr="00B96232">
        <w:t xml:space="preserve"> supplemental NEPA documents. </w:t>
      </w:r>
    </w:p>
    <w:p w14:paraId="53005B01" w14:textId="77777777" w:rsidR="00CF43E3" w:rsidRDefault="00CF43E3" w:rsidP="008F40DC">
      <w:pPr>
        <w:pStyle w:val="BodyText"/>
        <w:ind w:right="41"/>
        <w:jc w:val="both"/>
      </w:pPr>
    </w:p>
    <w:p w14:paraId="3D241127" w14:textId="3C3B4F4F" w:rsidR="00B0105E" w:rsidRPr="001E49F6" w:rsidRDefault="000A0E69" w:rsidP="00EB6D37">
      <w:pPr>
        <w:pStyle w:val="BodyText"/>
        <w:ind w:left="-90" w:right="42"/>
        <w:jc w:val="both"/>
        <w:rPr>
          <w:sz w:val="22"/>
          <w:szCs w:val="22"/>
        </w:rPr>
      </w:pPr>
      <w:r w:rsidRPr="008F40DC">
        <w:rPr>
          <w:b/>
        </w:rPr>
        <w:t>Importance:</w:t>
      </w:r>
      <w:r w:rsidRPr="008F40DC">
        <w:t xml:space="preserve">  The</w:t>
      </w:r>
      <w:r w:rsidRPr="008F40DC">
        <w:rPr>
          <w:spacing w:val="-12"/>
        </w:rPr>
        <w:t xml:space="preserve"> </w:t>
      </w:r>
      <w:r w:rsidR="009E65A5">
        <w:rPr>
          <w:spacing w:val="-12"/>
        </w:rPr>
        <w:t xml:space="preserve">MTG </w:t>
      </w:r>
      <w:r w:rsidRPr="008F40DC">
        <w:t>project</w:t>
      </w:r>
      <w:r w:rsidRPr="008F40DC">
        <w:rPr>
          <w:spacing w:val="-13"/>
        </w:rPr>
        <w:t xml:space="preserve"> </w:t>
      </w:r>
      <w:r w:rsidRPr="008F40DC">
        <w:t>would</w:t>
      </w:r>
      <w:r w:rsidRPr="008F40DC">
        <w:rPr>
          <w:spacing w:val="-12"/>
        </w:rPr>
        <w:t xml:space="preserve"> </w:t>
      </w:r>
      <w:r w:rsidRPr="008F40DC">
        <w:t>reduce</w:t>
      </w:r>
      <w:r w:rsidRPr="008F40DC">
        <w:rPr>
          <w:spacing w:val="-13"/>
        </w:rPr>
        <w:t xml:space="preserve"> </w:t>
      </w:r>
      <w:r w:rsidRPr="008F40DC">
        <w:t>the</w:t>
      </w:r>
      <w:r w:rsidRPr="008F40DC">
        <w:rPr>
          <w:spacing w:val="-12"/>
        </w:rPr>
        <w:t xml:space="preserve"> </w:t>
      </w:r>
      <w:r w:rsidRPr="008F40DC">
        <w:t>risk</w:t>
      </w:r>
      <w:r w:rsidRPr="008F40DC">
        <w:rPr>
          <w:spacing w:val="-13"/>
        </w:rPr>
        <w:t xml:space="preserve"> </w:t>
      </w:r>
      <w:r w:rsidRPr="008F40DC">
        <w:t>of</w:t>
      </w:r>
      <w:r w:rsidRPr="008F40DC">
        <w:rPr>
          <w:spacing w:val="-12"/>
        </w:rPr>
        <w:t xml:space="preserve"> </w:t>
      </w:r>
      <w:r w:rsidRPr="008F40DC">
        <w:t>flooding due</w:t>
      </w:r>
      <w:r w:rsidRPr="008F40DC">
        <w:rPr>
          <w:spacing w:val="-8"/>
        </w:rPr>
        <w:t xml:space="preserve"> </w:t>
      </w:r>
      <w:r w:rsidRPr="008F40DC">
        <w:t>to</w:t>
      </w:r>
      <w:r w:rsidRPr="008F40DC">
        <w:rPr>
          <w:spacing w:val="-7"/>
        </w:rPr>
        <w:t xml:space="preserve"> </w:t>
      </w:r>
      <w:r w:rsidRPr="008F40DC">
        <w:t>storm</w:t>
      </w:r>
      <w:r w:rsidRPr="008F40DC">
        <w:rPr>
          <w:spacing w:val="-11"/>
        </w:rPr>
        <w:t xml:space="preserve"> </w:t>
      </w:r>
      <w:r w:rsidRPr="008F40DC">
        <w:t>surge</w:t>
      </w:r>
      <w:r w:rsidRPr="008F40DC">
        <w:rPr>
          <w:spacing w:val="-8"/>
        </w:rPr>
        <w:t xml:space="preserve"> </w:t>
      </w:r>
      <w:r w:rsidRPr="008F40DC">
        <w:t>to</w:t>
      </w:r>
      <w:r w:rsidRPr="008F40DC">
        <w:rPr>
          <w:spacing w:val="-7"/>
        </w:rPr>
        <w:t xml:space="preserve"> </w:t>
      </w:r>
      <w:r w:rsidRPr="008F40DC">
        <w:t>more</w:t>
      </w:r>
      <w:r w:rsidRPr="008F40DC">
        <w:rPr>
          <w:spacing w:val="-8"/>
        </w:rPr>
        <w:t xml:space="preserve"> </w:t>
      </w:r>
      <w:r w:rsidRPr="008F40DC">
        <w:t>than</w:t>
      </w:r>
      <w:r w:rsidRPr="008F40DC">
        <w:rPr>
          <w:spacing w:val="-9"/>
        </w:rPr>
        <w:t xml:space="preserve"> </w:t>
      </w:r>
      <w:r w:rsidRPr="008F40DC">
        <w:t>52,000</w:t>
      </w:r>
      <w:r w:rsidRPr="008F40DC">
        <w:rPr>
          <w:spacing w:val="-7"/>
        </w:rPr>
        <w:t xml:space="preserve"> </w:t>
      </w:r>
      <w:r w:rsidRPr="008F40DC">
        <w:t>structures</w:t>
      </w:r>
      <w:r w:rsidRPr="008F40DC">
        <w:rPr>
          <w:spacing w:val="-8"/>
        </w:rPr>
        <w:t xml:space="preserve"> </w:t>
      </w:r>
      <w:r w:rsidRPr="008F40DC">
        <w:t>and</w:t>
      </w:r>
      <w:r w:rsidRPr="008F40DC">
        <w:rPr>
          <w:spacing w:val="-7"/>
        </w:rPr>
        <w:t xml:space="preserve"> </w:t>
      </w:r>
      <w:r w:rsidRPr="008F40DC">
        <w:t xml:space="preserve">over </w:t>
      </w:r>
      <w:r w:rsidR="00A20860" w:rsidRPr="008F40DC">
        <w:t>200,000</w:t>
      </w:r>
      <w:r w:rsidR="00A20860" w:rsidRPr="008F40DC">
        <w:rPr>
          <w:spacing w:val="-8"/>
        </w:rPr>
        <w:t xml:space="preserve"> </w:t>
      </w:r>
      <w:r w:rsidR="00A20860" w:rsidRPr="008F40DC">
        <w:t>people</w:t>
      </w:r>
      <w:r w:rsidR="00A20860" w:rsidRPr="008F40DC">
        <w:rPr>
          <w:spacing w:val="-8"/>
        </w:rPr>
        <w:t xml:space="preserve"> </w:t>
      </w:r>
      <w:r w:rsidR="00A20860" w:rsidRPr="008F40DC">
        <w:t>in</w:t>
      </w:r>
      <w:r w:rsidR="00A20860" w:rsidRPr="008F40DC">
        <w:rPr>
          <w:spacing w:val="-10"/>
        </w:rPr>
        <w:t xml:space="preserve"> an area</w:t>
      </w:r>
      <w:r w:rsidR="008C56C0">
        <w:rPr>
          <w:spacing w:val="-10"/>
        </w:rPr>
        <w:t>.</w:t>
      </w:r>
      <w:r>
        <w:rPr>
          <w:spacing w:val="-10"/>
        </w:rPr>
        <w:t xml:space="preserve">  </w:t>
      </w:r>
      <w:r w:rsidR="00A20860" w:rsidRPr="008F40DC">
        <w:t>Deterioration</w:t>
      </w:r>
      <w:r w:rsidR="00A20860" w:rsidRPr="008F40DC">
        <w:rPr>
          <w:spacing w:val="-10"/>
        </w:rPr>
        <w:t xml:space="preserve"> </w:t>
      </w:r>
      <w:r w:rsidR="00A20860" w:rsidRPr="008F40DC">
        <w:t>of</w:t>
      </w:r>
      <w:r w:rsidR="00A20860" w:rsidRPr="008F40DC">
        <w:rPr>
          <w:spacing w:val="-10"/>
        </w:rPr>
        <w:t xml:space="preserve"> </w:t>
      </w:r>
      <w:r w:rsidR="00A20860" w:rsidRPr="008F40DC">
        <w:t xml:space="preserve">coastal marshes </w:t>
      </w:r>
      <w:r w:rsidR="008C56C0">
        <w:t xml:space="preserve">due to </w:t>
      </w:r>
      <w:r w:rsidR="00A20860" w:rsidRPr="008F40DC">
        <w:t>saltwater intrusion, land subsidence and</w:t>
      </w:r>
      <w:r w:rsidR="00A20860" w:rsidRPr="008F40DC">
        <w:rPr>
          <w:spacing w:val="-13"/>
        </w:rPr>
        <w:t xml:space="preserve"> </w:t>
      </w:r>
      <w:r w:rsidR="00A20860" w:rsidRPr="008F40DC">
        <w:t>the</w:t>
      </w:r>
      <w:r w:rsidR="00A20860" w:rsidRPr="008F40DC">
        <w:rPr>
          <w:spacing w:val="-12"/>
        </w:rPr>
        <w:t xml:space="preserve"> </w:t>
      </w:r>
      <w:r w:rsidR="00A20860" w:rsidRPr="008F40DC">
        <w:t>lack</w:t>
      </w:r>
      <w:r w:rsidR="00A20860" w:rsidRPr="008F40DC">
        <w:rPr>
          <w:spacing w:val="-13"/>
        </w:rPr>
        <w:t xml:space="preserve"> </w:t>
      </w:r>
      <w:r w:rsidR="00A20860" w:rsidRPr="008F40DC">
        <w:t>of</w:t>
      </w:r>
      <w:r w:rsidR="00A20860" w:rsidRPr="008F40DC">
        <w:rPr>
          <w:spacing w:val="-12"/>
        </w:rPr>
        <w:t xml:space="preserve"> </w:t>
      </w:r>
      <w:r w:rsidR="00A20860" w:rsidRPr="008F40DC">
        <w:t>interchanges</w:t>
      </w:r>
      <w:r w:rsidR="00A20860" w:rsidRPr="008F40DC">
        <w:rPr>
          <w:spacing w:val="-13"/>
        </w:rPr>
        <w:t xml:space="preserve"> </w:t>
      </w:r>
      <w:r w:rsidR="00A20860" w:rsidRPr="008F40DC">
        <w:t>from</w:t>
      </w:r>
      <w:r w:rsidR="00A20860" w:rsidRPr="008F40DC">
        <w:rPr>
          <w:spacing w:val="-12"/>
        </w:rPr>
        <w:t xml:space="preserve"> </w:t>
      </w:r>
      <w:r w:rsidR="00A20860" w:rsidRPr="008F40DC">
        <w:t>the</w:t>
      </w:r>
      <w:r w:rsidR="00A20860" w:rsidRPr="008F40DC">
        <w:rPr>
          <w:spacing w:val="-13"/>
        </w:rPr>
        <w:t xml:space="preserve"> </w:t>
      </w:r>
      <w:r w:rsidR="00A20860" w:rsidRPr="008F40DC">
        <w:t>Mississippi</w:t>
      </w:r>
      <w:r w:rsidR="00A20860" w:rsidRPr="008F40DC">
        <w:rPr>
          <w:spacing w:val="-12"/>
        </w:rPr>
        <w:t xml:space="preserve"> </w:t>
      </w:r>
      <w:r w:rsidR="00A20860" w:rsidRPr="008F40DC">
        <w:t>River</w:t>
      </w:r>
      <w:r w:rsidR="00A20860" w:rsidRPr="008F40DC">
        <w:rPr>
          <w:spacing w:val="-13"/>
        </w:rPr>
        <w:t xml:space="preserve"> </w:t>
      </w:r>
      <w:r w:rsidR="00A20860" w:rsidRPr="008F40DC">
        <w:t>and Tributaries system have steadily increased storm surge inundation over time.</w:t>
      </w:r>
      <w:r w:rsidR="0043185A">
        <w:t xml:space="preserve">  Flooding of homes occurred in Lafourche Parish with Hurricane Ida, near the proposed alignment that </w:t>
      </w:r>
      <w:r w:rsidR="001E49F6">
        <w:t>may</w:t>
      </w:r>
      <w:r w:rsidR="0043185A">
        <w:t xml:space="preserve"> be alleviated with the Projec</w:t>
      </w:r>
      <w:r w:rsidR="0057674E">
        <w:t>t.</w:t>
      </w:r>
    </w:p>
    <w:sectPr w:rsidR="00B0105E" w:rsidRPr="001E49F6" w:rsidSect="001E49F6">
      <w:headerReference w:type="default" r:id="rId11"/>
      <w:type w:val="continuous"/>
      <w:pgSz w:w="12240" w:h="15840" w:code="1"/>
      <w:pgMar w:top="432" w:right="749" w:bottom="720" w:left="720" w:header="720" w:footer="547" w:gutter="0"/>
      <w:pgBorders w:display="notFirstPage">
        <w:top w:val="single" w:sz="36" w:space="1" w:color="000080"/>
        <w:left w:val="single" w:sz="6" w:space="4" w:color="000080"/>
        <w:bottom w:val="single" w:sz="6" w:space="0" w:color="000080"/>
        <w:right w:val="single" w:sz="6" w:space="4" w:color="0000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C671" w14:textId="77777777" w:rsidR="009565E1" w:rsidRDefault="009565E1">
      <w:r>
        <w:separator/>
      </w:r>
    </w:p>
  </w:endnote>
  <w:endnote w:type="continuationSeparator" w:id="0">
    <w:p w14:paraId="35C25894" w14:textId="77777777" w:rsidR="009565E1" w:rsidRDefault="0095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312A0" w14:textId="77777777" w:rsidR="009565E1" w:rsidRDefault="009565E1">
      <w:r>
        <w:separator/>
      </w:r>
    </w:p>
  </w:footnote>
  <w:footnote w:type="continuationSeparator" w:id="0">
    <w:p w14:paraId="573C4A6E" w14:textId="77777777" w:rsidR="009565E1" w:rsidRDefault="0095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D8F1" w14:textId="30571ED4" w:rsidR="00C360C5" w:rsidRDefault="00EB51E1" w:rsidP="00C360C5">
    <w:pPr>
      <w:spacing w:after="60"/>
      <w:jc w:val="right"/>
      <w:rPr>
        <w:rFonts w:ascii="Arial" w:hAnsi="Arial"/>
        <w:color w:val="000000" w:themeColor="text1"/>
        <w:sz w:val="18"/>
      </w:rPr>
    </w:pPr>
    <w:r>
      <w:rPr>
        <w:rFonts w:ascii="Arial" w:hAnsi="Arial"/>
        <w:color w:val="0000FF"/>
        <w:sz w:val="18"/>
      </w:rPr>
      <w:tab/>
    </w:r>
    <w:r>
      <w:rPr>
        <w:rFonts w:ascii="Arial" w:hAnsi="Arial"/>
        <w:color w:val="0000FF"/>
        <w:sz w:val="18"/>
      </w:rPr>
      <w:tab/>
    </w:r>
    <w:r>
      <w:rPr>
        <w:rFonts w:ascii="Arial" w:hAnsi="Arial"/>
        <w:color w:val="0000FF"/>
        <w:sz w:val="18"/>
      </w:rPr>
      <w:tab/>
    </w:r>
    <w:r>
      <w:rPr>
        <w:rFonts w:ascii="Arial" w:hAnsi="Arial"/>
        <w:color w:val="0000FF"/>
        <w:sz w:val="18"/>
      </w:rPr>
      <w:tab/>
    </w:r>
    <w:r>
      <w:rPr>
        <w:rFonts w:ascii="Arial" w:hAnsi="Arial"/>
        <w:color w:val="0000FF"/>
        <w:sz w:val="18"/>
      </w:rPr>
      <w:tab/>
    </w:r>
    <w:r w:rsidR="00C360C5">
      <w:rPr>
        <w:rFonts w:ascii="Arial" w:hAnsi="Arial"/>
        <w:color w:val="000000" w:themeColor="text1"/>
        <w:sz w:val="18"/>
      </w:rPr>
      <w:t xml:space="preserve"> </w:t>
    </w:r>
    <w:r w:rsidR="00C703C8">
      <w:rPr>
        <w:rFonts w:ascii="Arial" w:hAnsi="Arial"/>
        <w:color w:val="000000" w:themeColor="text1"/>
        <w:sz w:val="18"/>
      </w:rPr>
      <w:t xml:space="preserve">         As of: </w:t>
    </w:r>
    <w:r w:rsidR="00871258">
      <w:rPr>
        <w:rFonts w:ascii="Arial" w:hAnsi="Arial"/>
        <w:color w:val="000000" w:themeColor="text1"/>
        <w:sz w:val="18"/>
      </w:rPr>
      <w:t>8 May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0A4B" w14:textId="42ADA04D" w:rsidR="00EB51E1" w:rsidRDefault="00EB51E1" w:rsidP="00692764">
    <w:pPr>
      <w:spacing w:after="60"/>
      <w:jc w:val="right"/>
      <w:rPr>
        <w:rFonts w:ascii="Arial" w:hAnsi="Arial"/>
        <w:color w:val="000000"/>
        <w:sz w:val="18"/>
      </w:rPr>
    </w:pPr>
    <w:r>
      <w:rPr>
        <w:rFonts w:ascii="Arial" w:hAnsi="Arial"/>
        <w:color w:val="0000FF"/>
        <w:sz w:val="18"/>
      </w:rPr>
      <w:tab/>
    </w:r>
    <w:r>
      <w:rPr>
        <w:rFonts w:ascii="Arial" w:hAnsi="Arial"/>
        <w:color w:val="0000FF"/>
        <w:sz w:val="18"/>
      </w:rPr>
      <w:tab/>
    </w:r>
    <w:r>
      <w:rPr>
        <w:rFonts w:ascii="Arial" w:hAnsi="Arial"/>
        <w:color w:val="0000FF"/>
        <w:sz w:val="18"/>
      </w:rPr>
      <w:tab/>
    </w:r>
    <w:r>
      <w:rPr>
        <w:rFonts w:ascii="Arial" w:hAnsi="Arial"/>
        <w:color w:val="0000FF"/>
        <w:sz w:val="18"/>
      </w:rPr>
      <w:tab/>
    </w:r>
    <w:r>
      <w:rPr>
        <w:rFonts w:ascii="Arial" w:hAnsi="Arial"/>
        <w:color w:val="0000FF"/>
        <w:sz w:val="18"/>
      </w:rPr>
      <w:tab/>
    </w:r>
    <w:r>
      <w:rPr>
        <w:rFonts w:ascii="Arial" w:hAnsi="Arial"/>
        <w:color w:val="000000"/>
        <w:sz w:val="18"/>
      </w:rPr>
      <w:t xml:space="preserve"> </w:t>
    </w:r>
  </w:p>
  <w:p w14:paraId="03A0CE25" w14:textId="77777777" w:rsidR="00EB51E1" w:rsidRDefault="00EB51E1" w:rsidP="00692764">
    <w:pPr>
      <w:spacing w:after="60"/>
      <w:jc w:val="right"/>
      <w:rPr>
        <w:rFonts w:ascii="Arial" w:hAnsi="Arial"/>
        <w:color w:val="000000"/>
        <w:sz w:val="18"/>
      </w:rPr>
    </w:pPr>
  </w:p>
  <w:p w14:paraId="4B110E53" w14:textId="77777777" w:rsidR="00EB51E1" w:rsidRDefault="00EB51E1" w:rsidP="00692764">
    <w:pPr>
      <w:spacing w:after="60"/>
      <w:jc w:val="right"/>
      <w:rPr>
        <w:rFonts w:ascii="Arial" w:hAnsi="Arial"/>
        <w:color w:val="0000F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B067B"/>
    <w:multiLevelType w:val="hybridMultilevel"/>
    <w:tmpl w:val="B69C17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3506E2"/>
    <w:multiLevelType w:val="hybridMultilevel"/>
    <w:tmpl w:val="8EC49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6826105">
    <w:abstractNumId w:val="0"/>
  </w:num>
  <w:num w:numId="2" w16cid:durableId="204590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01"/>
    <w:rsid w:val="00015B32"/>
    <w:rsid w:val="0005160E"/>
    <w:rsid w:val="00075AE7"/>
    <w:rsid w:val="0007650B"/>
    <w:rsid w:val="0008089D"/>
    <w:rsid w:val="00083EB6"/>
    <w:rsid w:val="000851BE"/>
    <w:rsid w:val="0009369B"/>
    <w:rsid w:val="000A0E69"/>
    <w:rsid w:val="000A47AB"/>
    <w:rsid w:val="000B0607"/>
    <w:rsid w:val="000B3972"/>
    <w:rsid w:val="000E4512"/>
    <w:rsid w:val="000E502F"/>
    <w:rsid w:val="000E59B7"/>
    <w:rsid w:val="000F6C74"/>
    <w:rsid w:val="00147827"/>
    <w:rsid w:val="0015687F"/>
    <w:rsid w:val="00161952"/>
    <w:rsid w:val="00163E8F"/>
    <w:rsid w:val="00165A0C"/>
    <w:rsid w:val="0016643C"/>
    <w:rsid w:val="00176084"/>
    <w:rsid w:val="00187068"/>
    <w:rsid w:val="00194465"/>
    <w:rsid w:val="001C3B81"/>
    <w:rsid w:val="001C4E57"/>
    <w:rsid w:val="001D622D"/>
    <w:rsid w:val="001D64A1"/>
    <w:rsid w:val="001D712E"/>
    <w:rsid w:val="001E2899"/>
    <w:rsid w:val="001E49F6"/>
    <w:rsid w:val="001E71C5"/>
    <w:rsid w:val="001F2695"/>
    <w:rsid w:val="001F30F2"/>
    <w:rsid w:val="001F3FB6"/>
    <w:rsid w:val="001F529C"/>
    <w:rsid w:val="0020448F"/>
    <w:rsid w:val="002046D4"/>
    <w:rsid w:val="00207081"/>
    <w:rsid w:val="00207363"/>
    <w:rsid w:val="00207C83"/>
    <w:rsid w:val="002107FA"/>
    <w:rsid w:val="00222C91"/>
    <w:rsid w:val="00240B65"/>
    <w:rsid w:val="00243471"/>
    <w:rsid w:val="00243D28"/>
    <w:rsid w:val="002501E6"/>
    <w:rsid w:val="002534AC"/>
    <w:rsid w:val="00264007"/>
    <w:rsid w:val="002642B4"/>
    <w:rsid w:val="00275060"/>
    <w:rsid w:val="002753AF"/>
    <w:rsid w:val="00275CD2"/>
    <w:rsid w:val="0029022A"/>
    <w:rsid w:val="0029050A"/>
    <w:rsid w:val="00296724"/>
    <w:rsid w:val="002976F6"/>
    <w:rsid w:val="002A1C16"/>
    <w:rsid w:val="002A42D8"/>
    <w:rsid w:val="002B66CF"/>
    <w:rsid w:val="002B7397"/>
    <w:rsid w:val="002C15CE"/>
    <w:rsid w:val="002C511B"/>
    <w:rsid w:val="002D5EA9"/>
    <w:rsid w:val="002D739A"/>
    <w:rsid w:val="002D768A"/>
    <w:rsid w:val="002E1159"/>
    <w:rsid w:val="002E6550"/>
    <w:rsid w:val="002E7411"/>
    <w:rsid w:val="002F1585"/>
    <w:rsid w:val="002F61A2"/>
    <w:rsid w:val="002F7BB6"/>
    <w:rsid w:val="0030053A"/>
    <w:rsid w:val="003009A2"/>
    <w:rsid w:val="00302008"/>
    <w:rsid w:val="003046B8"/>
    <w:rsid w:val="00304B5E"/>
    <w:rsid w:val="003054C6"/>
    <w:rsid w:val="00305CDD"/>
    <w:rsid w:val="003109D5"/>
    <w:rsid w:val="00311C7A"/>
    <w:rsid w:val="00316280"/>
    <w:rsid w:val="00322DD6"/>
    <w:rsid w:val="00323E96"/>
    <w:rsid w:val="00340CCE"/>
    <w:rsid w:val="00343690"/>
    <w:rsid w:val="00345B37"/>
    <w:rsid w:val="003507E4"/>
    <w:rsid w:val="0037011E"/>
    <w:rsid w:val="00370405"/>
    <w:rsid w:val="00372DD6"/>
    <w:rsid w:val="00373B0E"/>
    <w:rsid w:val="0037529F"/>
    <w:rsid w:val="00377FDF"/>
    <w:rsid w:val="00381FD7"/>
    <w:rsid w:val="00390CD0"/>
    <w:rsid w:val="00393A66"/>
    <w:rsid w:val="00393D46"/>
    <w:rsid w:val="003A279D"/>
    <w:rsid w:val="003B09A2"/>
    <w:rsid w:val="003B3989"/>
    <w:rsid w:val="003C4715"/>
    <w:rsid w:val="003D5755"/>
    <w:rsid w:val="003D64C9"/>
    <w:rsid w:val="003D6B4E"/>
    <w:rsid w:val="003E2285"/>
    <w:rsid w:val="003E47D9"/>
    <w:rsid w:val="003E6B28"/>
    <w:rsid w:val="003F01CB"/>
    <w:rsid w:val="003F0F56"/>
    <w:rsid w:val="0040357A"/>
    <w:rsid w:val="004105F7"/>
    <w:rsid w:val="00410E9B"/>
    <w:rsid w:val="00420B8A"/>
    <w:rsid w:val="0042243F"/>
    <w:rsid w:val="00425169"/>
    <w:rsid w:val="00426AA1"/>
    <w:rsid w:val="00427046"/>
    <w:rsid w:val="004272AE"/>
    <w:rsid w:val="0043185A"/>
    <w:rsid w:val="004450DB"/>
    <w:rsid w:val="00450A48"/>
    <w:rsid w:val="004550A0"/>
    <w:rsid w:val="0045597A"/>
    <w:rsid w:val="004567BA"/>
    <w:rsid w:val="00460CFA"/>
    <w:rsid w:val="00470A3A"/>
    <w:rsid w:val="00472DFC"/>
    <w:rsid w:val="0047323B"/>
    <w:rsid w:val="00480D72"/>
    <w:rsid w:val="00490613"/>
    <w:rsid w:val="00491ED8"/>
    <w:rsid w:val="00492503"/>
    <w:rsid w:val="00494FFF"/>
    <w:rsid w:val="004A458E"/>
    <w:rsid w:val="004C1586"/>
    <w:rsid w:val="004C4670"/>
    <w:rsid w:val="004E15C4"/>
    <w:rsid w:val="004E3BB7"/>
    <w:rsid w:val="004E519F"/>
    <w:rsid w:val="004F4F5A"/>
    <w:rsid w:val="004F5052"/>
    <w:rsid w:val="005053F1"/>
    <w:rsid w:val="00505664"/>
    <w:rsid w:val="005108F5"/>
    <w:rsid w:val="0051127F"/>
    <w:rsid w:val="005145AE"/>
    <w:rsid w:val="0052139B"/>
    <w:rsid w:val="005215BF"/>
    <w:rsid w:val="005221EF"/>
    <w:rsid w:val="00531907"/>
    <w:rsid w:val="00542EF1"/>
    <w:rsid w:val="00543DB0"/>
    <w:rsid w:val="00551315"/>
    <w:rsid w:val="00555065"/>
    <w:rsid w:val="0055648F"/>
    <w:rsid w:val="005570BA"/>
    <w:rsid w:val="00557B3E"/>
    <w:rsid w:val="00562373"/>
    <w:rsid w:val="00570565"/>
    <w:rsid w:val="00574CE6"/>
    <w:rsid w:val="0057614E"/>
    <w:rsid w:val="0057674E"/>
    <w:rsid w:val="0058411C"/>
    <w:rsid w:val="00584B76"/>
    <w:rsid w:val="00585F4C"/>
    <w:rsid w:val="00595911"/>
    <w:rsid w:val="005A1307"/>
    <w:rsid w:val="005A242B"/>
    <w:rsid w:val="005B5B0C"/>
    <w:rsid w:val="005C128C"/>
    <w:rsid w:val="005C1651"/>
    <w:rsid w:val="005C1DCC"/>
    <w:rsid w:val="005C20FE"/>
    <w:rsid w:val="005C4826"/>
    <w:rsid w:val="005C593E"/>
    <w:rsid w:val="005C5FFE"/>
    <w:rsid w:val="005D22AD"/>
    <w:rsid w:val="005E09D2"/>
    <w:rsid w:val="005E3C71"/>
    <w:rsid w:val="005E4233"/>
    <w:rsid w:val="005E462C"/>
    <w:rsid w:val="005F0D1E"/>
    <w:rsid w:val="005F105F"/>
    <w:rsid w:val="005F2B1E"/>
    <w:rsid w:val="005F325B"/>
    <w:rsid w:val="005F328A"/>
    <w:rsid w:val="005F358E"/>
    <w:rsid w:val="005F553B"/>
    <w:rsid w:val="00611678"/>
    <w:rsid w:val="00611BFD"/>
    <w:rsid w:val="00622153"/>
    <w:rsid w:val="0062306F"/>
    <w:rsid w:val="00625CD0"/>
    <w:rsid w:val="00630C7D"/>
    <w:rsid w:val="00630D7A"/>
    <w:rsid w:val="00646A73"/>
    <w:rsid w:val="00654F14"/>
    <w:rsid w:val="00655DF0"/>
    <w:rsid w:val="006712EB"/>
    <w:rsid w:val="0067438A"/>
    <w:rsid w:val="00687703"/>
    <w:rsid w:val="00692764"/>
    <w:rsid w:val="00692AA2"/>
    <w:rsid w:val="0069408E"/>
    <w:rsid w:val="006A10B3"/>
    <w:rsid w:val="006A3D2C"/>
    <w:rsid w:val="006B0024"/>
    <w:rsid w:val="006B0AE4"/>
    <w:rsid w:val="006B2414"/>
    <w:rsid w:val="006B485D"/>
    <w:rsid w:val="006C164C"/>
    <w:rsid w:val="006C55F9"/>
    <w:rsid w:val="006C6C34"/>
    <w:rsid w:val="006C7A45"/>
    <w:rsid w:val="006D247C"/>
    <w:rsid w:val="006D3475"/>
    <w:rsid w:val="006D6EA5"/>
    <w:rsid w:val="006D76B0"/>
    <w:rsid w:val="006E24A7"/>
    <w:rsid w:val="006E62D6"/>
    <w:rsid w:val="00701833"/>
    <w:rsid w:val="007039B6"/>
    <w:rsid w:val="007050C6"/>
    <w:rsid w:val="007077B4"/>
    <w:rsid w:val="0071093D"/>
    <w:rsid w:val="00716333"/>
    <w:rsid w:val="0072714D"/>
    <w:rsid w:val="00727E5B"/>
    <w:rsid w:val="00735104"/>
    <w:rsid w:val="00737BCD"/>
    <w:rsid w:val="00743FB3"/>
    <w:rsid w:val="00750DA9"/>
    <w:rsid w:val="00751035"/>
    <w:rsid w:val="00761209"/>
    <w:rsid w:val="0076131E"/>
    <w:rsid w:val="00765A4F"/>
    <w:rsid w:val="007733E0"/>
    <w:rsid w:val="00774A33"/>
    <w:rsid w:val="007A6E26"/>
    <w:rsid w:val="007A70A4"/>
    <w:rsid w:val="007B0A53"/>
    <w:rsid w:val="007C2067"/>
    <w:rsid w:val="007C6B63"/>
    <w:rsid w:val="007C6D3D"/>
    <w:rsid w:val="007C7033"/>
    <w:rsid w:val="007C7792"/>
    <w:rsid w:val="007D0904"/>
    <w:rsid w:val="007E0E79"/>
    <w:rsid w:val="007F2B31"/>
    <w:rsid w:val="007F4920"/>
    <w:rsid w:val="007F756A"/>
    <w:rsid w:val="008033F0"/>
    <w:rsid w:val="00804A3A"/>
    <w:rsid w:val="0081274D"/>
    <w:rsid w:val="00813D9F"/>
    <w:rsid w:val="008313AD"/>
    <w:rsid w:val="0083257E"/>
    <w:rsid w:val="008360AA"/>
    <w:rsid w:val="00843F73"/>
    <w:rsid w:val="008454B3"/>
    <w:rsid w:val="008464F2"/>
    <w:rsid w:val="00852285"/>
    <w:rsid w:val="00855E77"/>
    <w:rsid w:val="00866F06"/>
    <w:rsid w:val="00871258"/>
    <w:rsid w:val="00871929"/>
    <w:rsid w:val="00877C5B"/>
    <w:rsid w:val="00877F21"/>
    <w:rsid w:val="0088072D"/>
    <w:rsid w:val="00880CAA"/>
    <w:rsid w:val="00883118"/>
    <w:rsid w:val="008903B5"/>
    <w:rsid w:val="008943B8"/>
    <w:rsid w:val="00897415"/>
    <w:rsid w:val="008A336A"/>
    <w:rsid w:val="008A3565"/>
    <w:rsid w:val="008A36D7"/>
    <w:rsid w:val="008A5C04"/>
    <w:rsid w:val="008B7C4B"/>
    <w:rsid w:val="008C17A3"/>
    <w:rsid w:val="008C47B3"/>
    <w:rsid w:val="008C56C0"/>
    <w:rsid w:val="008C6352"/>
    <w:rsid w:val="008D2244"/>
    <w:rsid w:val="008D4E8B"/>
    <w:rsid w:val="008D53A8"/>
    <w:rsid w:val="008E1E6A"/>
    <w:rsid w:val="008E713E"/>
    <w:rsid w:val="008E75AD"/>
    <w:rsid w:val="008F1B42"/>
    <w:rsid w:val="008F40DC"/>
    <w:rsid w:val="008F589E"/>
    <w:rsid w:val="008F7FC6"/>
    <w:rsid w:val="009019C1"/>
    <w:rsid w:val="009046AA"/>
    <w:rsid w:val="009108DA"/>
    <w:rsid w:val="00911DA1"/>
    <w:rsid w:val="009214DA"/>
    <w:rsid w:val="0092287D"/>
    <w:rsid w:val="00925A9E"/>
    <w:rsid w:val="0092772F"/>
    <w:rsid w:val="009337B9"/>
    <w:rsid w:val="00934EFE"/>
    <w:rsid w:val="009456E9"/>
    <w:rsid w:val="009565E1"/>
    <w:rsid w:val="009613F7"/>
    <w:rsid w:val="009637C4"/>
    <w:rsid w:val="00976E24"/>
    <w:rsid w:val="00977133"/>
    <w:rsid w:val="00977456"/>
    <w:rsid w:val="00982E4F"/>
    <w:rsid w:val="00992AC4"/>
    <w:rsid w:val="00995312"/>
    <w:rsid w:val="00997C6C"/>
    <w:rsid w:val="009A7D4E"/>
    <w:rsid w:val="009B43CB"/>
    <w:rsid w:val="009B4842"/>
    <w:rsid w:val="009B4F4C"/>
    <w:rsid w:val="009B7108"/>
    <w:rsid w:val="009E5746"/>
    <w:rsid w:val="009E6283"/>
    <w:rsid w:val="009E65A5"/>
    <w:rsid w:val="009E77DE"/>
    <w:rsid w:val="00A126EC"/>
    <w:rsid w:val="00A133A7"/>
    <w:rsid w:val="00A20860"/>
    <w:rsid w:val="00A223CF"/>
    <w:rsid w:val="00A24810"/>
    <w:rsid w:val="00A276CD"/>
    <w:rsid w:val="00A30861"/>
    <w:rsid w:val="00A34270"/>
    <w:rsid w:val="00A5351C"/>
    <w:rsid w:val="00A65EEE"/>
    <w:rsid w:val="00A73F48"/>
    <w:rsid w:val="00A75968"/>
    <w:rsid w:val="00A769C6"/>
    <w:rsid w:val="00A87114"/>
    <w:rsid w:val="00A9288A"/>
    <w:rsid w:val="00A9406E"/>
    <w:rsid w:val="00A94617"/>
    <w:rsid w:val="00A97B9C"/>
    <w:rsid w:val="00AA03F7"/>
    <w:rsid w:val="00AB385A"/>
    <w:rsid w:val="00AB6886"/>
    <w:rsid w:val="00AC121D"/>
    <w:rsid w:val="00AC2E0D"/>
    <w:rsid w:val="00AC36E3"/>
    <w:rsid w:val="00AC3F53"/>
    <w:rsid w:val="00AC5323"/>
    <w:rsid w:val="00AD733C"/>
    <w:rsid w:val="00AE1863"/>
    <w:rsid w:val="00AE6C84"/>
    <w:rsid w:val="00AF09BA"/>
    <w:rsid w:val="00B00CD5"/>
    <w:rsid w:val="00B0105E"/>
    <w:rsid w:val="00B01E39"/>
    <w:rsid w:val="00B06CBD"/>
    <w:rsid w:val="00B11B09"/>
    <w:rsid w:val="00B150F6"/>
    <w:rsid w:val="00B1566D"/>
    <w:rsid w:val="00B15FE4"/>
    <w:rsid w:val="00B16A64"/>
    <w:rsid w:val="00B21ABB"/>
    <w:rsid w:val="00B378CC"/>
    <w:rsid w:val="00B4006C"/>
    <w:rsid w:val="00B42DB2"/>
    <w:rsid w:val="00B506FE"/>
    <w:rsid w:val="00B558CC"/>
    <w:rsid w:val="00B7073D"/>
    <w:rsid w:val="00B72AC2"/>
    <w:rsid w:val="00B90A6E"/>
    <w:rsid w:val="00B9340C"/>
    <w:rsid w:val="00B9544C"/>
    <w:rsid w:val="00B96232"/>
    <w:rsid w:val="00BA02D2"/>
    <w:rsid w:val="00BA6AFE"/>
    <w:rsid w:val="00BA6FDD"/>
    <w:rsid w:val="00BA7B1D"/>
    <w:rsid w:val="00BB0C5B"/>
    <w:rsid w:val="00BB49D8"/>
    <w:rsid w:val="00BB5168"/>
    <w:rsid w:val="00BC3D6C"/>
    <w:rsid w:val="00BC58CF"/>
    <w:rsid w:val="00BC7A43"/>
    <w:rsid w:val="00BD26E9"/>
    <w:rsid w:val="00BD29F4"/>
    <w:rsid w:val="00BE518E"/>
    <w:rsid w:val="00BF2C58"/>
    <w:rsid w:val="00BF7F4F"/>
    <w:rsid w:val="00C02C14"/>
    <w:rsid w:val="00C11F40"/>
    <w:rsid w:val="00C142DE"/>
    <w:rsid w:val="00C27011"/>
    <w:rsid w:val="00C30007"/>
    <w:rsid w:val="00C353DE"/>
    <w:rsid w:val="00C35DFB"/>
    <w:rsid w:val="00C360C5"/>
    <w:rsid w:val="00C40A71"/>
    <w:rsid w:val="00C452F6"/>
    <w:rsid w:val="00C45728"/>
    <w:rsid w:val="00C50A68"/>
    <w:rsid w:val="00C629EE"/>
    <w:rsid w:val="00C64D37"/>
    <w:rsid w:val="00C67D55"/>
    <w:rsid w:val="00C703C8"/>
    <w:rsid w:val="00C71B58"/>
    <w:rsid w:val="00C80782"/>
    <w:rsid w:val="00C8262C"/>
    <w:rsid w:val="00C866D4"/>
    <w:rsid w:val="00C86AE1"/>
    <w:rsid w:val="00C94683"/>
    <w:rsid w:val="00CA02A2"/>
    <w:rsid w:val="00CA6CC3"/>
    <w:rsid w:val="00CA7257"/>
    <w:rsid w:val="00CB3684"/>
    <w:rsid w:val="00CB3D7F"/>
    <w:rsid w:val="00CB5898"/>
    <w:rsid w:val="00CB5D85"/>
    <w:rsid w:val="00CB7980"/>
    <w:rsid w:val="00CC6A4A"/>
    <w:rsid w:val="00CD45C0"/>
    <w:rsid w:val="00CD4747"/>
    <w:rsid w:val="00CE0E13"/>
    <w:rsid w:val="00CE4270"/>
    <w:rsid w:val="00CF43E3"/>
    <w:rsid w:val="00CF4B99"/>
    <w:rsid w:val="00CF5392"/>
    <w:rsid w:val="00CF57C5"/>
    <w:rsid w:val="00D0144A"/>
    <w:rsid w:val="00D12A8D"/>
    <w:rsid w:val="00D15513"/>
    <w:rsid w:val="00D20925"/>
    <w:rsid w:val="00D20BB3"/>
    <w:rsid w:val="00D271A9"/>
    <w:rsid w:val="00D348AB"/>
    <w:rsid w:val="00D34C4E"/>
    <w:rsid w:val="00D452DD"/>
    <w:rsid w:val="00D46D4F"/>
    <w:rsid w:val="00D563E0"/>
    <w:rsid w:val="00D57B90"/>
    <w:rsid w:val="00D60FB6"/>
    <w:rsid w:val="00D614E5"/>
    <w:rsid w:val="00D63413"/>
    <w:rsid w:val="00D64C77"/>
    <w:rsid w:val="00D70D00"/>
    <w:rsid w:val="00D7440A"/>
    <w:rsid w:val="00D76DAC"/>
    <w:rsid w:val="00D81871"/>
    <w:rsid w:val="00D826A6"/>
    <w:rsid w:val="00D82BB1"/>
    <w:rsid w:val="00D974F8"/>
    <w:rsid w:val="00DA0F6C"/>
    <w:rsid w:val="00DA123A"/>
    <w:rsid w:val="00DA6CA4"/>
    <w:rsid w:val="00DA77F7"/>
    <w:rsid w:val="00DC4D05"/>
    <w:rsid w:val="00DC59A1"/>
    <w:rsid w:val="00DC6575"/>
    <w:rsid w:val="00DD530F"/>
    <w:rsid w:val="00DD5FD2"/>
    <w:rsid w:val="00DE195D"/>
    <w:rsid w:val="00DE385A"/>
    <w:rsid w:val="00DF4A55"/>
    <w:rsid w:val="00DF76F0"/>
    <w:rsid w:val="00E0030A"/>
    <w:rsid w:val="00E0157C"/>
    <w:rsid w:val="00E01684"/>
    <w:rsid w:val="00E0554B"/>
    <w:rsid w:val="00E07BB3"/>
    <w:rsid w:val="00E12801"/>
    <w:rsid w:val="00E21C8B"/>
    <w:rsid w:val="00E21D4B"/>
    <w:rsid w:val="00E2552A"/>
    <w:rsid w:val="00E2557E"/>
    <w:rsid w:val="00E2587D"/>
    <w:rsid w:val="00E262B2"/>
    <w:rsid w:val="00E36EBF"/>
    <w:rsid w:val="00E36EFB"/>
    <w:rsid w:val="00E47197"/>
    <w:rsid w:val="00E50E8E"/>
    <w:rsid w:val="00E55DDC"/>
    <w:rsid w:val="00E60364"/>
    <w:rsid w:val="00E635FE"/>
    <w:rsid w:val="00E73658"/>
    <w:rsid w:val="00E802AE"/>
    <w:rsid w:val="00E91102"/>
    <w:rsid w:val="00E93804"/>
    <w:rsid w:val="00EA0261"/>
    <w:rsid w:val="00EA3842"/>
    <w:rsid w:val="00EA3C38"/>
    <w:rsid w:val="00EA72C1"/>
    <w:rsid w:val="00EB1D73"/>
    <w:rsid w:val="00EB51E1"/>
    <w:rsid w:val="00EB6D37"/>
    <w:rsid w:val="00EB74AC"/>
    <w:rsid w:val="00EC41EF"/>
    <w:rsid w:val="00EC53AF"/>
    <w:rsid w:val="00EC6229"/>
    <w:rsid w:val="00EC7782"/>
    <w:rsid w:val="00ED2845"/>
    <w:rsid w:val="00ED43E6"/>
    <w:rsid w:val="00EE0962"/>
    <w:rsid w:val="00EE366D"/>
    <w:rsid w:val="00EF3114"/>
    <w:rsid w:val="00EF7418"/>
    <w:rsid w:val="00F01AF6"/>
    <w:rsid w:val="00F0516F"/>
    <w:rsid w:val="00F11C77"/>
    <w:rsid w:val="00F13B89"/>
    <w:rsid w:val="00F24BED"/>
    <w:rsid w:val="00F25A2D"/>
    <w:rsid w:val="00F2775E"/>
    <w:rsid w:val="00F3392D"/>
    <w:rsid w:val="00F405CE"/>
    <w:rsid w:val="00F52BF8"/>
    <w:rsid w:val="00F725BE"/>
    <w:rsid w:val="00F72EC6"/>
    <w:rsid w:val="00F733BF"/>
    <w:rsid w:val="00F76A70"/>
    <w:rsid w:val="00F77E95"/>
    <w:rsid w:val="00F81BB1"/>
    <w:rsid w:val="00F83091"/>
    <w:rsid w:val="00F840AD"/>
    <w:rsid w:val="00FA642B"/>
    <w:rsid w:val="00FA7F5F"/>
    <w:rsid w:val="00FB1BBF"/>
    <w:rsid w:val="00FB28FD"/>
    <w:rsid w:val="00FC32BB"/>
    <w:rsid w:val="00FC476E"/>
    <w:rsid w:val="00FC565B"/>
    <w:rsid w:val="00FD1178"/>
    <w:rsid w:val="00FD1F8D"/>
    <w:rsid w:val="00FD4081"/>
    <w:rsid w:val="00FE2379"/>
    <w:rsid w:val="00FE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0CEDFA"/>
  <w15:docId w15:val="{17C055DA-2A71-404A-BB4E-5B7B099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801"/>
  </w:style>
  <w:style w:type="paragraph" w:styleId="Heading4">
    <w:name w:val="heading 4"/>
    <w:basedOn w:val="Normal"/>
    <w:next w:val="Normal"/>
    <w:link w:val="Heading4Char"/>
    <w:qFormat/>
    <w:rsid w:val="00E12801"/>
    <w:pPr>
      <w:keepNext/>
      <w:outlineLvl w:val="3"/>
    </w:pPr>
    <w:rPr>
      <w:rFonts w:ascii="Helvetica" w:hAnsi="Helvetica"/>
      <w:b/>
      <w:sz w:val="22"/>
    </w:rPr>
  </w:style>
  <w:style w:type="paragraph" w:styleId="Heading5">
    <w:name w:val="heading 5"/>
    <w:basedOn w:val="Normal"/>
    <w:next w:val="Normal"/>
    <w:link w:val="Heading5Char"/>
    <w:qFormat/>
    <w:rsid w:val="00E12801"/>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Contemporary">
    <w:name w:val="Calendar Text - Contemporary"/>
    <w:basedOn w:val="Normal"/>
    <w:next w:val="Normal"/>
    <w:rsid w:val="00E12801"/>
    <w:pPr>
      <w:spacing w:after="240" w:line="240" w:lineRule="exact"/>
    </w:pPr>
    <w:rPr>
      <w:rFonts w:ascii="Arial" w:hAnsi="Arial"/>
      <w:sz w:val="18"/>
    </w:rPr>
  </w:style>
  <w:style w:type="paragraph" w:customStyle="1" w:styleId="Footer-Professional">
    <w:name w:val="Footer - Professional"/>
    <w:basedOn w:val="Footer"/>
    <w:rsid w:val="00E12801"/>
    <w:pPr>
      <w:pBdr>
        <w:top w:val="single" w:sz="36" w:space="1" w:color="000080"/>
      </w:pBdr>
      <w:jc w:val="center"/>
    </w:pPr>
    <w:rPr>
      <w:rFonts w:ascii="Arial Black" w:hAnsi="Arial Black"/>
      <w:color w:val="000080"/>
      <w:sz w:val="16"/>
    </w:rPr>
  </w:style>
  <w:style w:type="paragraph" w:customStyle="1" w:styleId="IssueVolumeDate-Professional">
    <w:name w:val="Issue/Volume/Date - Professional"/>
    <w:basedOn w:val="Normal"/>
    <w:rsid w:val="00E12801"/>
    <w:pPr>
      <w:pBdr>
        <w:top w:val="single" w:sz="36" w:space="1" w:color="000080"/>
        <w:left w:val="single" w:sz="6" w:space="4" w:color="auto"/>
        <w:bottom w:val="single" w:sz="6" w:space="1" w:color="auto"/>
        <w:right w:val="single" w:sz="6" w:space="4" w:color="auto"/>
      </w:pBdr>
      <w:shd w:val="clear" w:color="auto" w:fill="000080"/>
      <w:tabs>
        <w:tab w:val="right" w:pos="10480"/>
      </w:tabs>
      <w:spacing w:after="120"/>
    </w:pPr>
    <w:rPr>
      <w:rFonts w:ascii="Arial Black" w:hAnsi="Arial Black"/>
      <w:color w:val="FFFFFF"/>
    </w:rPr>
  </w:style>
  <w:style w:type="paragraph" w:customStyle="1" w:styleId="Title-Professional">
    <w:name w:val="Title - Professional"/>
    <w:basedOn w:val="Normal"/>
    <w:rsid w:val="00E12801"/>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72"/>
    </w:rPr>
  </w:style>
  <w:style w:type="paragraph" w:styleId="Footer">
    <w:name w:val="footer"/>
    <w:basedOn w:val="Normal"/>
    <w:rsid w:val="00E12801"/>
    <w:pPr>
      <w:tabs>
        <w:tab w:val="center" w:pos="4320"/>
        <w:tab w:val="right" w:pos="8640"/>
      </w:tabs>
    </w:pPr>
  </w:style>
  <w:style w:type="character" w:styleId="Hyperlink">
    <w:name w:val="Hyperlink"/>
    <w:basedOn w:val="DefaultParagraphFont"/>
    <w:rsid w:val="00E12801"/>
    <w:rPr>
      <w:color w:val="0000FF"/>
      <w:u w:val="single"/>
    </w:rPr>
  </w:style>
  <w:style w:type="paragraph" w:styleId="PlainText">
    <w:name w:val="Plain Text"/>
    <w:basedOn w:val="Normal"/>
    <w:link w:val="PlainTextChar"/>
    <w:uiPriority w:val="99"/>
    <w:rsid w:val="00E12801"/>
    <w:rPr>
      <w:rFonts w:ascii="Courier New" w:hAnsi="Courier New"/>
    </w:rPr>
  </w:style>
  <w:style w:type="paragraph" w:styleId="CommentText">
    <w:name w:val="annotation text"/>
    <w:basedOn w:val="Normal"/>
    <w:link w:val="CommentTextChar"/>
    <w:semiHidden/>
    <w:rsid w:val="00E12801"/>
  </w:style>
  <w:style w:type="paragraph" w:styleId="FootnoteText">
    <w:name w:val="footnote text"/>
    <w:basedOn w:val="Normal"/>
    <w:link w:val="FootnoteTextChar"/>
    <w:uiPriority w:val="99"/>
    <w:semiHidden/>
    <w:rsid w:val="00E12801"/>
  </w:style>
  <w:style w:type="paragraph" w:styleId="NormalWeb">
    <w:name w:val="Normal (Web)"/>
    <w:basedOn w:val="Normal"/>
    <w:rsid w:val="00E12801"/>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B16A64"/>
    <w:pPr>
      <w:tabs>
        <w:tab w:val="center" w:pos="4320"/>
        <w:tab w:val="right" w:pos="8640"/>
      </w:tabs>
    </w:pPr>
  </w:style>
  <w:style w:type="paragraph" w:styleId="BalloonText">
    <w:name w:val="Balloon Text"/>
    <w:basedOn w:val="Normal"/>
    <w:semiHidden/>
    <w:rsid w:val="00C11F40"/>
    <w:rPr>
      <w:rFonts w:ascii="Tahoma" w:hAnsi="Tahoma" w:cs="Tahoma"/>
      <w:sz w:val="16"/>
      <w:szCs w:val="16"/>
    </w:rPr>
  </w:style>
  <w:style w:type="character" w:customStyle="1" w:styleId="PlainTextChar">
    <w:name w:val="Plain Text Char"/>
    <w:basedOn w:val="DefaultParagraphFont"/>
    <w:link w:val="PlainText"/>
    <w:uiPriority w:val="99"/>
    <w:rsid w:val="00555065"/>
    <w:rPr>
      <w:rFonts w:ascii="Courier New" w:hAnsi="Courier New"/>
    </w:rPr>
  </w:style>
  <w:style w:type="paragraph" w:styleId="NoSpacing">
    <w:name w:val="No Spacing"/>
    <w:uiPriority w:val="1"/>
    <w:qFormat/>
    <w:rsid w:val="00B150F6"/>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557B3E"/>
    <w:rPr>
      <w:rFonts w:ascii="Helvetica" w:hAnsi="Helvetica"/>
      <w:b/>
      <w:sz w:val="22"/>
    </w:rPr>
  </w:style>
  <w:style w:type="character" w:customStyle="1" w:styleId="Heading5Char">
    <w:name w:val="Heading 5 Char"/>
    <w:basedOn w:val="DefaultParagraphFont"/>
    <w:link w:val="Heading5"/>
    <w:rsid w:val="00557B3E"/>
    <w:rPr>
      <w:rFonts w:ascii="Arial" w:hAnsi="Arial"/>
      <w:b/>
    </w:rPr>
  </w:style>
  <w:style w:type="character" w:customStyle="1" w:styleId="CommentTextChar">
    <w:name w:val="Comment Text Char"/>
    <w:basedOn w:val="DefaultParagraphFont"/>
    <w:link w:val="CommentText"/>
    <w:semiHidden/>
    <w:rsid w:val="00557B3E"/>
  </w:style>
  <w:style w:type="character" w:customStyle="1" w:styleId="FootnoteTextChar">
    <w:name w:val="Footnote Text Char"/>
    <w:basedOn w:val="DefaultParagraphFont"/>
    <w:link w:val="FootnoteText"/>
    <w:uiPriority w:val="99"/>
    <w:semiHidden/>
    <w:rsid w:val="00D60FB6"/>
  </w:style>
  <w:style w:type="character" w:styleId="FootnoteReference">
    <w:name w:val="footnote reference"/>
    <w:basedOn w:val="DefaultParagraphFont"/>
    <w:uiPriority w:val="99"/>
    <w:unhideWhenUsed/>
    <w:rsid w:val="00D60FB6"/>
    <w:rPr>
      <w:vertAlign w:val="superscript"/>
    </w:rPr>
  </w:style>
  <w:style w:type="table" w:styleId="TableGrid">
    <w:name w:val="Table Grid"/>
    <w:basedOn w:val="TableNormal"/>
    <w:rsid w:val="00AE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06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595911"/>
    <w:rPr>
      <w:sz w:val="16"/>
      <w:szCs w:val="16"/>
    </w:rPr>
  </w:style>
  <w:style w:type="paragraph" w:styleId="CommentSubject">
    <w:name w:val="annotation subject"/>
    <w:basedOn w:val="CommentText"/>
    <w:next w:val="CommentText"/>
    <w:link w:val="CommentSubjectChar"/>
    <w:semiHidden/>
    <w:unhideWhenUsed/>
    <w:rsid w:val="00595911"/>
    <w:rPr>
      <w:b/>
      <w:bCs/>
    </w:rPr>
  </w:style>
  <w:style w:type="character" w:customStyle="1" w:styleId="CommentSubjectChar">
    <w:name w:val="Comment Subject Char"/>
    <w:basedOn w:val="CommentTextChar"/>
    <w:link w:val="CommentSubject"/>
    <w:semiHidden/>
    <w:rsid w:val="00595911"/>
    <w:rPr>
      <w:b/>
      <w:bCs/>
    </w:rPr>
  </w:style>
  <w:style w:type="paragraph" w:styleId="BodyText">
    <w:name w:val="Body Text"/>
    <w:basedOn w:val="Normal"/>
    <w:link w:val="BodyTextChar"/>
    <w:uiPriority w:val="1"/>
    <w:qFormat/>
    <w:rsid w:val="008F40DC"/>
    <w:pPr>
      <w:widowControl w:val="0"/>
      <w:autoSpaceDE w:val="0"/>
      <w:autoSpaceDN w:val="0"/>
    </w:pPr>
  </w:style>
  <w:style w:type="character" w:customStyle="1" w:styleId="BodyTextChar">
    <w:name w:val="Body Text Char"/>
    <w:basedOn w:val="DefaultParagraphFont"/>
    <w:link w:val="BodyText"/>
    <w:uiPriority w:val="1"/>
    <w:rsid w:val="008F40DC"/>
  </w:style>
  <w:style w:type="paragraph" w:customStyle="1" w:styleId="TableParagraph">
    <w:name w:val="Table Paragraph"/>
    <w:basedOn w:val="Normal"/>
    <w:uiPriority w:val="1"/>
    <w:qFormat/>
    <w:rsid w:val="00A20860"/>
    <w:pPr>
      <w:widowControl w:val="0"/>
      <w:autoSpaceDE w:val="0"/>
      <w:autoSpaceDN w:val="0"/>
      <w:spacing w:line="256" w:lineRule="exact"/>
    </w:pPr>
    <w:rPr>
      <w:sz w:val="22"/>
      <w:szCs w:val="22"/>
    </w:rPr>
  </w:style>
  <w:style w:type="paragraph" w:styleId="Revision">
    <w:name w:val="Revision"/>
    <w:hidden/>
    <w:uiPriority w:val="99"/>
    <w:semiHidden/>
    <w:rsid w:val="0086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6397">
      <w:bodyDiv w:val="1"/>
      <w:marLeft w:val="0"/>
      <w:marRight w:val="0"/>
      <w:marTop w:val="0"/>
      <w:marBottom w:val="0"/>
      <w:divBdr>
        <w:top w:val="none" w:sz="0" w:space="0" w:color="auto"/>
        <w:left w:val="none" w:sz="0" w:space="0" w:color="auto"/>
        <w:bottom w:val="none" w:sz="0" w:space="0" w:color="auto"/>
        <w:right w:val="none" w:sz="0" w:space="0" w:color="auto"/>
      </w:divBdr>
    </w:div>
    <w:div w:id="693770264">
      <w:bodyDiv w:val="1"/>
      <w:marLeft w:val="0"/>
      <w:marRight w:val="0"/>
      <w:marTop w:val="0"/>
      <w:marBottom w:val="0"/>
      <w:divBdr>
        <w:top w:val="none" w:sz="0" w:space="0" w:color="auto"/>
        <w:left w:val="none" w:sz="0" w:space="0" w:color="auto"/>
        <w:bottom w:val="none" w:sz="0" w:space="0" w:color="auto"/>
        <w:right w:val="none" w:sz="0" w:space="0" w:color="auto"/>
      </w:divBdr>
    </w:div>
    <w:div w:id="728383812">
      <w:bodyDiv w:val="1"/>
      <w:marLeft w:val="0"/>
      <w:marRight w:val="0"/>
      <w:marTop w:val="0"/>
      <w:marBottom w:val="0"/>
      <w:divBdr>
        <w:top w:val="none" w:sz="0" w:space="0" w:color="auto"/>
        <w:left w:val="none" w:sz="0" w:space="0" w:color="auto"/>
        <w:bottom w:val="none" w:sz="0" w:space="0" w:color="auto"/>
        <w:right w:val="none" w:sz="0" w:space="0" w:color="auto"/>
      </w:divBdr>
    </w:div>
    <w:div w:id="9557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6A72-FC91-4676-B9C9-46C66CE9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Army Corps of Engineers - MVR</Company>
  <LinksUpToDate>false</LinksUpToDate>
  <CharactersWithSpaces>4800</CharactersWithSpaces>
  <SharedDoc>false</SharedDoc>
  <HLinks>
    <vt:vector size="6" baseType="variant">
      <vt:variant>
        <vt:i4>6094908</vt:i4>
      </vt:variant>
      <vt:variant>
        <vt:i4>0</vt:i4>
      </vt:variant>
      <vt:variant>
        <vt:i4>0</vt:i4>
      </vt:variant>
      <vt:variant>
        <vt:i4>5</vt:i4>
      </vt:variant>
      <vt:variant>
        <vt:lpwstr>mailto:scott.d.whitney@usace.army.mil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b5pmrhcd</dc:creator>
  <cp:lastModifiedBy>Sawyer, Paul</cp:lastModifiedBy>
  <cp:revision>2</cp:revision>
  <cp:lastPrinted>2016-02-08T16:50:00Z</cp:lastPrinted>
  <dcterms:created xsi:type="dcterms:W3CDTF">2024-10-23T18:32:00Z</dcterms:created>
  <dcterms:modified xsi:type="dcterms:W3CDTF">2024-10-23T18:32:00Z</dcterms:modified>
</cp:coreProperties>
</file>